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FC8" w:rsidRPr="009A6FC8" w:rsidRDefault="009A6FC8" w:rsidP="009A6FC8">
      <w:pPr>
        <w:widowControl/>
        <w:shd w:val="clear" w:color="auto" w:fill="FFFFFF"/>
        <w:jc w:val="center"/>
        <w:rPr>
          <w:rFonts w:ascii="微软雅黑" w:eastAsia="微软雅黑" w:hAnsi="微软雅黑" w:cs="宋体"/>
          <w:color w:val="000000"/>
          <w:kern w:val="0"/>
          <w:sz w:val="23"/>
          <w:szCs w:val="23"/>
        </w:rPr>
      </w:pPr>
      <w:r w:rsidRPr="009A6FC8">
        <w:rPr>
          <w:rFonts w:ascii="宋体" w:hAnsi="宋体" w:cs="宋体" w:hint="eastAsia"/>
          <w:b/>
          <w:bCs/>
          <w:color w:val="000000"/>
          <w:kern w:val="0"/>
          <w:sz w:val="44"/>
          <w:szCs w:val="44"/>
        </w:rPr>
        <w:t>毒害性商品储存养护技术条件</w:t>
      </w:r>
    </w:p>
    <w:p w:rsidR="009A6FC8" w:rsidRPr="009A6FC8" w:rsidRDefault="009A6FC8" w:rsidP="009A6FC8">
      <w:pPr>
        <w:widowControl/>
        <w:shd w:val="clear" w:color="auto" w:fill="FFFFFF"/>
        <w:jc w:val="center"/>
        <w:rPr>
          <w:rFonts w:ascii="微软雅黑" w:eastAsia="微软雅黑" w:hAnsi="微软雅黑" w:cs="宋体" w:hint="eastAsia"/>
          <w:color w:val="000000"/>
          <w:kern w:val="0"/>
          <w:sz w:val="23"/>
          <w:szCs w:val="23"/>
        </w:rPr>
      </w:pPr>
      <w:r w:rsidRPr="009A6FC8">
        <w:rPr>
          <w:rFonts w:ascii="宋体" w:hAnsi="宋体" w:cs="宋体" w:hint="eastAsia"/>
          <w:b/>
          <w:bCs/>
          <w:color w:val="000000"/>
          <w:kern w:val="0"/>
          <w:sz w:val="44"/>
          <w:szCs w:val="44"/>
        </w:rPr>
        <w:t>GB17916-2013</w:t>
      </w:r>
    </w:p>
    <w:p w:rsidR="009A6FC8" w:rsidRPr="009A6FC8" w:rsidRDefault="009A6FC8" w:rsidP="009A6FC8">
      <w:pPr>
        <w:widowControl/>
        <w:shd w:val="clear" w:color="auto" w:fill="FFFFFF"/>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
    <w:p w:rsidR="009A6FC8" w:rsidRPr="009A6FC8" w:rsidRDefault="009A6FC8" w:rsidP="009A6FC8">
      <w:pPr>
        <w:widowControl/>
        <w:shd w:val="clear" w:color="auto" w:fill="FFFFFF"/>
        <w:spacing w:after="312" w:line="500" w:lineRule="atLeast"/>
        <w:jc w:val="center"/>
        <w:rPr>
          <w:rFonts w:ascii="微软雅黑" w:eastAsia="微软雅黑" w:hAnsi="微软雅黑" w:cs="宋体" w:hint="eastAsia"/>
          <w:color w:val="000000"/>
          <w:kern w:val="0"/>
          <w:sz w:val="23"/>
          <w:szCs w:val="23"/>
        </w:rPr>
      </w:pPr>
      <w:r w:rsidRPr="009A6FC8">
        <w:rPr>
          <w:rFonts w:eastAsia="微软雅黑"/>
          <w:color w:val="000000"/>
          <w:kern w:val="0"/>
          <w:sz w:val="28"/>
          <w:szCs w:val="28"/>
        </w:rPr>
        <w:br w:type="textWrapping" w:clear="all"/>
      </w:r>
      <w:r w:rsidRPr="009A6FC8">
        <w:rPr>
          <w:rFonts w:ascii="宋体" w:hAnsi="宋体" w:cs="宋体" w:hint="eastAsia"/>
          <w:b/>
          <w:bCs/>
          <w:color w:val="000000"/>
          <w:kern w:val="0"/>
          <w:sz w:val="36"/>
          <w:szCs w:val="36"/>
        </w:rPr>
        <w:t>前言</w:t>
      </w:r>
    </w:p>
    <w:p w:rsidR="009A6FC8" w:rsidRPr="009A6FC8" w:rsidRDefault="009A6FC8" w:rsidP="009A6FC8">
      <w:pPr>
        <w:widowControl/>
        <w:shd w:val="clear" w:color="auto" w:fill="FFFFFF"/>
        <w:spacing w:line="500" w:lineRule="atLeast"/>
        <w:ind w:firstLine="560"/>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本标准第5章、第6章、第8章、第9章和第10章为强制性条款，其余为推荐性条款。</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本标准依据GB/T 1.1-2009给出的规则起草。</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本标准代替GB 17916-1999((毒害性商品储藏养护技术条件</w:t>
      </w:r>
      <w:proofErr w:type="gramStart"/>
      <w:r w:rsidRPr="009A6FC8">
        <w:rPr>
          <w:rFonts w:ascii="宋体" w:hAnsi="宋体" w:cs="宋体" w:hint="eastAsia"/>
          <w:color w:val="000000"/>
          <w:kern w:val="0"/>
          <w:sz w:val="28"/>
          <w:szCs w:val="28"/>
        </w:rPr>
        <w:t>》</w:t>
      </w:r>
      <w:proofErr w:type="gramEnd"/>
      <w:r w:rsidRPr="009A6FC8">
        <w:rPr>
          <w:rFonts w:ascii="宋体" w:hAnsi="宋体" w:cs="宋体"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本标准与GB 17916-1999相比，主要差异如下</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—将标准名称改为《毒害性商品储存养护技术条件》</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roofErr w:type="gramStart"/>
      <w:r w:rsidRPr="009A6FC8">
        <w:rPr>
          <w:rFonts w:ascii="宋体" w:hAnsi="宋体" w:cs="宋体" w:hint="eastAsia"/>
          <w:color w:val="000000"/>
          <w:kern w:val="0"/>
          <w:sz w:val="28"/>
          <w:szCs w:val="28"/>
        </w:rPr>
        <w:t>—增加</w:t>
      </w:r>
      <w:proofErr w:type="gramEnd"/>
      <w:r w:rsidRPr="009A6FC8">
        <w:rPr>
          <w:rFonts w:ascii="宋体" w:hAnsi="宋体" w:cs="宋体" w:hint="eastAsia"/>
          <w:color w:val="000000"/>
          <w:kern w:val="0"/>
          <w:sz w:val="28"/>
          <w:szCs w:val="28"/>
        </w:rPr>
        <w:t>了</w:t>
      </w:r>
      <w:r w:rsidRPr="009A6FC8">
        <w:rPr>
          <w:rFonts w:hint="eastAsia"/>
          <w:color w:val="000000"/>
          <w:kern w:val="0"/>
          <w:sz w:val="28"/>
          <w:szCs w:val="28"/>
        </w:rPr>
        <w:t>2</w:t>
      </w:r>
      <w:r w:rsidRPr="009A6FC8">
        <w:rPr>
          <w:rFonts w:ascii="宋体" w:hAnsi="宋体" w:cs="宋体" w:hint="eastAsia"/>
          <w:color w:val="000000"/>
          <w:kern w:val="0"/>
          <w:sz w:val="28"/>
          <w:szCs w:val="28"/>
        </w:rPr>
        <w:t>条术语</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roofErr w:type="gramStart"/>
      <w:r w:rsidRPr="009A6FC8">
        <w:rPr>
          <w:rFonts w:ascii="宋体" w:hAnsi="宋体" w:cs="宋体" w:hint="eastAsia"/>
          <w:color w:val="000000"/>
          <w:kern w:val="0"/>
          <w:sz w:val="28"/>
          <w:szCs w:val="28"/>
        </w:rPr>
        <w:t>—增加</w:t>
      </w:r>
      <w:proofErr w:type="gramEnd"/>
      <w:r w:rsidRPr="009A6FC8">
        <w:rPr>
          <w:rFonts w:ascii="宋体" w:hAnsi="宋体" w:cs="宋体" w:hint="eastAsia"/>
          <w:color w:val="000000"/>
          <w:kern w:val="0"/>
          <w:sz w:val="28"/>
          <w:szCs w:val="28"/>
        </w:rPr>
        <w:t>了“人库验收”中的一条原则</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roofErr w:type="gramStart"/>
      <w:r w:rsidRPr="009A6FC8">
        <w:rPr>
          <w:rFonts w:ascii="宋体" w:hAnsi="宋体" w:cs="宋体" w:hint="eastAsia"/>
          <w:color w:val="000000"/>
          <w:kern w:val="0"/>
          <w:sz w:val="28"/>
          <w:szCs w:val="28"/>
        </w:rPr>
        <w:t>—明确</w:t>
      </w:r>
      <w:proofErr w:type="gramEnd"/>
      <w:r w:rsidRPr="009A6FC8">
        <w:rPr>
          <w:rFonts w:ascii="宋体" w:hAnsi="宋体" w:cs="宋体" w:hint="eastAsia"/>
          <w:color w:val="000000"/>
          <w:kern w:val="0"/>
          <w:sz w:val="28"/>
          <w:szCs w:val="28"/>
        </w:rPr>
        <w:t>了双人收发、双人保管制度和不应露天堆放的要求</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roofErr w:type="gramStart"/>
      <w:r w:rsidRPr="009A6FC8">
        <w:rPr>
          <w:rFonts w:ascii="宋体" w:hAnsi="宋体" w:cs="宋体" w:hint="eastAsia"/>
          <w:color w:val="000000"/>
          <w:kern w:val="0"/>
          <w:sz w:val="28"/>
          <w:szCs w:val="28"/>
        </w:rPr>
        <w:t>—明确</w:t>
      </w:r>
      <w:proofErr w:type="gramEnd"/>
      <w:r w:rsidRPr="009A6FC8">
        <w:rPr>
          <w:rFonts w:ascii="宋体" w:hAnsi="宋体" w:cs="宋体" w:hint="eastAsia"/>
          <w:color w:val="000000"/>
          <w:kern w:val="0"/>
          <w:sz w:val="28"/>
          <w:szCs w:val="28"/>
        </w:rPr>
        <w:t>了包装的标签应符合</w:t>
      </w:r>
      <w:r w:rsidRPr="009A6FC8">
        <w:rPr>
          <w:rFonts w:hint="eastAsia"/>
          <w:color w:val="000000"/>
          <w:kern w:val="0"/>
          <w:sz w:val="28"/>
          <w:szCs w:val="28"/>
        </w:rPr>
        <w:t>GB 15258</w:t>
      </w:r>
      <w:r w:rsidRPr="009A6FC8">
        <w:rPr>
          <w:rFonts w:ascii="宋体" w:hAnsi="宋体" w:cs="宋体" w:hint="eastAsia"/>
          <w:color w:val="000000"/>
          <w:kern w:val="0"/>
          <w:sz w:val="28"/>
          <w:szCs w:val="28"/>
        </w:rPr>
        <w:t>的规定</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roofErr w:type="gramStart"/>
      <w:r w:rsidRPr="009A6FC8">
        <w:rPr>
          <w:rFonts w:ascii="宋体" w:hAnsi="宋体" w:cs="宋体" w:hint="eastAsia"/>
          <w:color w:val="000000"/>
          <w:kern w:val="0"/>
          <w:sz w:val="28"/>
          <w:szCs w:val="28"/>
        </w:rPr>
        <w:t>—增加</w:t>
      </w:r>
      <w:proofErr w:type="gramEnd"/>
      <w:r w:rsidRPr="009A6FC8">
        <w:rPr>
          <w:rFonts w:ascii="宋体" w:hAnsi="宋体" w:cs="宋体" w:hint="eastAsia"/>
          <w:color w:val="000000"/>
          <w:kern w:val="0"/>
          <w:sz w:val="28"/>
          <w:szCs w:val="28"/>
        </w:rPr>
        <w:t>了作业人员应持有上岗作业资格证书</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—附录</w:t>
      </w:r>
      <w:r w:rsidRPr="009A6FC8">
        <w:rPr>
          <w:rFonts w:hint="eastAsia"/>
          <w:color w:val="000000"/>
          <w:kern w:val="0"/>
          <w:sz w:val="28"/>
          <w:szCs w:val="28"/>
        </w:rPr>
        <w:t>B</w:t>
      </w:r>
      <w:r w:rsidRPr="009A6FC8">
        <w:rPr>
          <w:rFonts w:ascii="宋体" w:hAnsi="宋体" w:cs="宋体" w:hint="eastAsia"/>
          <w:color w:val="000000"/>
          <w:kern w:val="0"/>
          <w:sz w:val="28"/>
          <w:szCs w:val="28"/>
        </w:rPr>
        <w:t>由规范性附录更改为资料性附录。</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本标准由中国商业联合会提出并归口.</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本标准主要起草单位:浙江建业化工股份有限公司、中国仓储协会、浙江省安全生产科学研究院、中</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proofErr w:type="gramStart"/>
      <w:r w:rsidRPr="009A6FC8">
        <w:rPr>
          <w:rFonts w:ascii="宋体" w:hAnsi="宋体" w:cs="宋体" w:hint="eastAsia"/>
          <w:color w:val="000000"/>
          <w:kern w:val="0"/>
          <w:sz w:val="28"/>
          <w:szCs w:val="28"/>
        </w:rPr>
        <w:t>国商业</w:t>
      </w:r>
      <w:proofErr w:type="gramEnd"/>
      <w:r w:rsidRPr="009A6FC8">
        <w:rPr>
          <w:rFonts w:ascii="宋体" w:hAnsi="宋体" w:cs="宋体" w:hint="eastAsia"/>
          <w:color w:val="000000"/>
          <w:kern w:val="0"/>
          <w:sz w:val="28"/>
          <w:szCs w:val="28"/>
        </w:rPr>
        <w:t>联合会。</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lastRenderedPageBreak/>
        <w:t>    本标准主要起草人:</w:t>
      </w:r>
      <w:proofErr w:type="gramStart"/>
      <w:r w:rsidRPr="009A6FC8">
        <w:rPr>
          <w:rFonts w:ascii="宋体" w:hAnsi="宋体" w:cs="宋体" w:hint="eastAsia"/>
          <w:color w:val="000000"/>
          <w:kern w:val="0"/>
          <w:sz w:val="28"/>
          <w:szCs w:val="28"/>
        </w:rPr>
        <w:t>曹寄梅</w:t>
      </w:r>
      <w:proofErr w:type="gramEnd"/>
      <w:r w:rsidRPr="009A6FC8">
        <w:rPr>
          <w:rFonts w:ascii="宋体" w:hAnsi="宋体" w:cs="宋体" w:hint="eastAsia"/>
          <w:color w:val="000000"/>
          <w:kern w:val="0"/>
          <w:sz w:val="28"/>
          <w:szCs w:val="28"/>
        </w:rPr>
        <w:t>、沈绍基、夏益忠、孙振波、柴保身、靳晓蕾。</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本标准的历次版本发布情况为:</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eastAsia="微软雅黑"/>
          <w:color w:val="000000"/>
          <w:kern w:val="0"/>
          <w:sz w:val="28"/>
          <w:szCs w:val="28"/>
        </w:rPr>
        <w:t>    —    GB 17916-1999.</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
    <w:p w:rsidR="009A6FC8" w:rsidRPr="009A6FC8" w:rsidRDefault="009A6FC8" w:rsidP="009A6FC8">
      <w:pPr>
        <w:widowControl/>
        <w:shd w:val="clear" w:color="auto" w:fill="FFFFFF"/>
        <w:spacing w:line="500" w:lineRule="atLeast"/>
        <w:jc w:val="right"/>
        <w:rPr>
          <w:rFonts w:ascii="微软雅黑" w:eastAsia="微软雅黑" w:hAnsi="微软雅黑" w:cs="宋体" w:hint="eastAsia"/>
          <w:color w:val="000000"/>
          <w:kern w:val="0"/>
          <w:sz w:val="23"/>
          <w:szCs w:val="23"/>
        </w:rPr>
      </w:pPr>
      <w:r w:rsidRPr="009A6FC8">
        <w:rPr>
          <w:rFonts w:eastAsia="微软雅黑"/>
          <w:color w:val="000000"/>
          <w:kern w:val="0"/>
          <w:sz w:val="28"/>
          <w:szCs w:val="28"/>
        </w:rPr>
        <w:br w:type="textWrapping" w:clear="all"/>
      </w:r>
      <w:r w:rsidRPr="009A6FC8">
        <w:rPr>
          <w:rFonts w:eastAsia="微软雅黑"/>
          <w:b/>
          <w:bCs/>
          <w:color w:val="000000"/>
          <w:kern w:val="0"/>
          <w:sz w:val="28"/>
          <w:szCs w:val="28"/>
        </w:rPr>
        <w:t>GB 17916-2013</w:t>
      </w:r>
    </w:p>
    <w:p w:rsidR="009A6FC8" w:rsidRPr="009A6FC8" w:rsidRDefault="009A6FC8" w:rsidP="009A6FC8">
      <w:pPr>
        <w:widowControl/>
        <w:shd w:val="clear" w:color="auto" w:fill="FFFFFF"/>
        <w:spacing w:line="500" w:lineRule="atLeast"/>
        <w:jc w:val="center"/>
        <w:rPr>
          <w:rFonts w:ascii="微软雅黑" w:eastAsia="微软雅黑" w:hAnsi="微软雅黑" w:cs="宋体" w:hint="eastAsia"/>
          <w:color w:val="000000"/>
          <w:kern w:val="0"/>
          <w:sz w:val="23"/>
          <w:szCs w:val="23"/>
        </w:rPr>
      </w:pPr>
      <w:r w:rsidRPr="009A6FC8">
        <w:rPr>
          <w:rFonts w:ascii="宋体" w:hAnsi="宋体" w:cs="宋体" w:hint="eastAsia"/>
          <w:b/>
          <w:bCs/>
          <w:color w:val="000000"/>
          <w:kern w:val="0"/>
          <w:sz w:val="28"/>
          <w:szCs w:val="28"/>
        </w:rPr>
        <w:t>毒害性商品储存养护技术条件</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1、范围</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本标准规定了毒害性商品储存养护技术条件的术语和定义、储存条件、人库验收、堆垛、养护技术、安全操作、出库和应急处理等要求。</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本标准适用于3.1定义商品的储存养护。</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2、规范性引用文件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下列文件对于本文件的应用是必不可少的。凡是注日期的引用文件，仅注日期的版本适用于本文件。凡是不注日期的引用文件，其最新版本(包括所有的修改单</w:t>
      </w:r>
      <w:r w:rsidRPr="009A6FC8">
        <w:rPr>
          <w:rFonts w:hint="eastAsia"/>
          <w:color w:val="000000"/>
          <w:kern w:val="0"/>
          <w:sz w:val="28"/>
          <w:szCs w:val="28"/>
        </w:rPr>
        <w:t>)</w:t>
      </w:r>
      <w:r w:rsidRPr="009A6FC8">
        <w:rPr>
          <w:rFonts w:ascii="宋体" w:hAnsi="宋体" w:cs="宋体" w:hint="eastAsia"/>
          <w:color w:val="000000"/>
          <w:kern w:val="0"/>
          <w:sz w:val="28"/>
          <w:szCs w:val="28"/>
        </w:rPr>
        <w:t>适用于本文件。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GB 6944-2012危险货物分类和品名编号</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GB 15258化学品安全标签编写规定</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3、术语和定义</w:t>
      </w:r>
    </w:p>
    <w:p w:rsidR="009A6FC8" w:rsidRPr="009A6FC8" w:rsidRDefault="009A6FC8" w:rsidP="009A6FC8">
      <w:pPr>
        <w:widowControl/>
        <w:shd w:val="clear" w:color="auto" w:fill="FFFFFF"/>
        <w:spacing w:line="500" w:lineRule="atLeast"/>
        <w:ind w:firstLine="56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下列术语和定义适用于本文件。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lastRenderedPageBreak/>
        <w:t>3.1 毒性商品</w:t>
      </w:r>
      <w:r w:rsidRPr="009A6FC8">
        <w:rPr>
          <w:rFonts w:hint="eastAsia"/>
          <w:color w:val="000000"/>
          <w:kern w:val="0"/>
          <w:sz w:val="28"/>
          <w:szCs w:val="28"/>
        </w:rPr>
        <w:t>toxic goods</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毒害性商品</w:t>
      </w:r>
    </w:p>
    <w:p w:rsidR="009A6FC8" w:rsidRPr="009A6FC8" w:rsidRDefault="009A6FC8" w:rsidP="009A6FC8">
      <w:pPr>
        <w:widowControl/>
        <w:shd w:val="clear" w:color="auto" w:fill="FFFFFF"/>
        <w:spacing w:line="500" w:lineRule="atLeast"/>
        <w:ind w:firstLine="56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经吞食、吸人或与皮肤接触后可能造成死亡或严重受伤或损害人类健康的物质。</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[GB 6944-2012，危险货物分类</w:t>
      </w:r>
      <w:r w:rsidRPr="009A6FC8">
        <w:rPr>
          <w:rFonts w:hint="eastAsia"/>
          <w:color w:val="000000"/>
          <w:kern w:val="0"/>
          <w:sz w:val="28"/>
          <w:szCs w:val="28"/>
        </w:rPr>
        <w:t>4.7.2.1.1]</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4、储存条件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4.1库房</w:t>
      </w:r>
    </w:p>
    <w:p w:rsidR="009A6FC8" w:rsidRPr="009A6FC8" w:rsidRDefault="009A6FC8" w:rsidP="009A6FC8">
      <w:pPr>
        <w:widowControl/>
        <w:shd w:val="clear" w:color="auto" w:fill="FFFFFF"/>
        <w:spacing w:line="500" w:lineRule="atLeast"/>
        <w:ind w:firstLine="56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库房干燥、通风。机械通风排毒应有安全防护和处理措施。</w:t>
      </w:r>
    </w:p>
    <w:p w:rsidR="009A6FC8" w:rsidRPr="009A6FC8" w:rsidRDefault="009A6FC8" w:rsidP="009A6FC8">
      <w:pPr>
        <w:widowControl/>
        <w:shd w:val="clear" w:color="auto" w:fill="FFFFFF"/>
        <w:spacing w:line="500" w:lineRule="atLeast"/>
        <w:ind w:firstLine="56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库房耐火等级不低于二级。</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4.2 安全</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4.2.1仓库应远离居民区和水源。</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4.2.2商品避免阳光直射、曝晒，远离热源、电源、火源，在库内</w:t>
      </w:r>
      <w:r w:rsidRPr="009A6FC8">
        <w:rPr>
          <w:rFonts w:hint="eastAsia"/>
          <w:color w:val="000000"/>
          <w:kern w:val="0"/>
          <w:sz w:val="28"/>
          <w:szCs w:val="28"/>
        </w:rPr>
        <w:t>(</w:t>
      </w:r>
      <w:r w:rsidRPr="009A6FC8">
        <w:rPr>
          <w:rFonts w:ascii="宋体" w:hAnsi="宋体" w:cs="宋体" w:hint="eastAsia"/>
          <w:color w:val="000000"/>
          <w:kern w:val="0"/>
          <w:sz w:val="28"/>
          <w:szCs w:val="28"/>
        </w:rPr>
        <w:t>区</w:t>
      </w:r>
      <w:r w:rsidRPr="009A6FC8">
        <w:rPr>
          <w:rFonts w:hint="eastAsia"/>
          <w:color w:val="000000"/>
          <w:kern w:val="0"/>
          <w:sz w:val="28"/>
          <w:szCs w:val="28"/>
        </w:rPr>
        <w:t>)</w:t>
      </w:r>
      <w:r w:rsidRPr="009A6FC8">
        <w:rPr>
          <w:rFonts w:ascii="宋体" w:hAnsi="宋体" w:cs="宋体" w:hint="eastAsia"/>
          <w:color w:val="000000"/>
          <w:kern w:val="0"/>
          <w:sz w:val="28"/>
          <w:szCs w:val="28"/>
        </w:rPr>
        <w:t>固定和方便的位置配备与毒害性商品性质相匹配的消防器材、报警装置和急救药箱。</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4.2.3不同种类的毒害性商品，视其危险程度和灭火方法的不同应分开存放，性质相抵的毒害性商品不应同库混存</w:t>
      </w:r>
      <w:r w:rsidRPr="009A6FC8">
        <w:rPr>
          <w:rFonts w:hint="eastAsia"/>
          <w:color w:val="000000"/>
          <w:kern w:val="0"/>
          <w:sz w:val="28"/>
          <w:szCs w:val="28"/>
        </w:rPr>
        <w:t>(</w:t>
      </w:r>
      <w:r w:rsidRPr="009A6FC8">
        <w:rPr>
          <w:rFonts w:ascii="宋体" w:hAnsi="宋体" w:cs="宋体" w:hint="eastAsia"/>
          <w:color w:val="000000"/>
          <w:kern w:val="0"/>
          <w:sz w:val="28"/>
          <w:szCs w:val="28"/>
        </w:rPr>
        <w:t>见附录</w:t>
      </w:r>
      <w:r w:rsidRPr="009A6FC8">
        <w:rPr>
          <w:rFonts w:hint="eastAsia"/>
          <w:color w:val="000000"/>
          <w:kern w:val="0"/>
          <w:sz w:val="28"/>
          <w:szCs w:val="28"/>
        </w:rPr>
        <w:t>A),</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4.2.4剧毒性商品应专库储存或存放在彼此间隔的单间内，并安装防盗报警器和</w:t>
      </w:r>
      <w:r w:rsidRPr="009A6FC8">
        <w:rPr>
          <w:rFonts w:ascii="宋体" w:hAnsi="宋体" w:cs="宋体" w:hint="eastAsia"/>
          <w:color w:val="FF0000"/>
          <w:kern w:val="0"/>
          <w:sz w:val="28"/>
          <w:szCs w:val="28"/>
        </w:rPr>
        <w:t>监控系统</w:t>
      </w:r>
      <w:r w:rsidRPr="009A6FC8">
        <w:rPr>
          <w:rFonts w:ascii="宋体" w:hAnsi="宋体" w:cs="宋体" w:hint="eastAsia"/>
          <w:color w:val="000000"/>
          <w:kern w:val="0"/>
          <w:sz w:val="28"/>
          <w:szCs w:val="28"/>
        </w:rPr>
        <w:t>，</w:t>
      </w:r>
      <w:proofErr w:type="gramStart"/>
      <w:r w:rsidRPr="009A6FC8">
        <w:rPr>
          <w:rFonts w:ascii="宋体" w:hAnsi="宋体" w:cs="宋体" w:hint="eastAsia"/>
          <w:color w:val="000000"/>
          <w:kern w:val="0"/>
          <w:sz w:val="28"/>
          <w:szCs w:val="28"/>
        </w:rPr>
        <w:t>库门装双锁</w:t>
      </w:r>
      <w:proofErr w:type="gramEnd"/>
      <w:r w:rsidRPr="009A6FC8">
        <w:rPr>
          <w:rFonts w:ascii="宋体" w:hAnsi="宋体" w:cs="宋体" w:hint="eastAsia"/>
          <w:color w:val="000000"/>
          <w:kern w:val="0"/>
          <w:sz w:val="28"/>
          <w:szCs w:val="28"/>
        </w:rPr>
        <w:t>，</w:t>
      </w:r>
      <w:r w:rsidRPr="009A6FC8">
        <w:rPr>
          <w:rFonts w:ascii="宋体" w:hAnsi="宋体" w:cs="宋体" w:hint="eastAsia"/>
          <w:color w:val="FF0000"/>
          <w:kern w:val="0"/>
          <w:sz w:val="28"/>
          <w:szCs w:val="28"/>
        </w:rPr>
        <w:t>实行双人收发、双人保管制度。</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4.3环境</w:t>
      </w:r>
    </w:p>
    <w:p w:rsidR="009A6FC8" w:rsidRPr="009A6FC8" w:rsidRDefault="009A6FC8" w:rsidP="009A6FC8">
      <w:pPr>
        <w:widowControl/>
        <w:shd w:val="clear" w:color="auto" w:fill="FFFFFF"/>
        <w:spacing w:line="500" w:lineRule="atLeast"/>
        <w:ind w:firstLine="57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库区和库房内保持整洁。对散落的毒害性商品应按照其安全技术说明书提供的方法妥善收集处理，库区的杂草及时清除。用过的工作</w:t>
      </w:r>
      <w:r w:rsidRPr="009A6FC8">
        <w:rPr>
          <w:rFonts w:ascii="宋体" w:hAnsi="宋体" w:cs="宋体" w:hint="eastAsia"/>
          <w:color w:val="000000"/>
          <w:kern w:val="0"/>
          <w:sz w:val="28"/>
          <w:szCs w:val="28"/>
        </w:rPr>
        <w:lastRenderedPageBreak/>
        <w:t>服、手套等用品应放在库外安全地点，妥善保管并及时处理。更换储存毒害性商品品种时，要将库房清扫干净。</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4.4温度和湿度</w:t>
      </w:r>
    </w:p>
    <w:p w:rsidR="009A6FC8" w:rsidRPr="009A6FC8" w:rsidRDefault="009A6FC8" w:rsidP="009A6FC8">
      <w:pPr>
        <w:widowControl/>
        <w:shd w:val="clear" w:color="auto" w:fill="FFFFFF"/>
        <w:spacing w:line="500" w:lineRule="atLeast"/>
        <w:ind w:firstLine="57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库房温度不宜超过35℃。易挥发的毒害性商品，库房温度应控制在</w:t>
      </w:r>
      <w:r w:rsidRPr="009A6FC8">
        <w:rPr>
          <w:rFonts w:hint="eastAsia"/>
          <w:color w:val="000000"/>
          <w:kern w:val="0"/>
          <w:sz w:val="28"/>
          <w:szCs w:val="28"/>
        </w:rPr>
        <w:t>32</w:t>
      </w:r>
      <w:r w:rsidRPr="009A6FC8">
        <w:rPr>
          <w:rFonts w:ascii="宋体" w:hAnsi="宋体" w:cs="宋体" w:hint="eastAsia"/>
          <w:color w:val="000000"/>
          <w:kern w:val="0"/>
          <w:sz w:val="28"/>
          <w:szCs w:val="28"/>
        </w:rPr>
        <w:t>℃以下，相对湿度应在</w:t>
      </w:r>
      <w:r w:rsidRPr="009A6FC8">
        <w:rPr>
          <w:rFonts w:hint="eastAsia"/>
          <w:color w:val="000000"/>
          <w:kern w:val="0"/>
          <w:sz w:val="28"/>
          <w:szCs w:val="28"/>
        </w:rPr>
        <w:t>85%</w:t>
      </w:r>
      <w:r w:rsidRPr="009A6FC8">
        <w:rPr>
          <w:rFonts w:ascii="宋体" w:hAnsi="宋体" w:cs="宋体" w:hint="eastAsia"/>
          <w:color w:val="000000"/>
          <w:kern w:val="0"/>
          <w:sz w:val="28"/>
          <w:szCs w:val="28"/>
        </w:rPr>
        <w:t>以下。对于易潮解的毒害性商品，库房相对湿度应控制在</w:t>
      </w:r>
      <w:r w:rsidRPr="009A6FC8">
        <w:rPr>
          <w:rFonts w:hint="eastAsia"/>
          <w:color w:val="000000"/>
          <w:kern w:val="0"/>
          <w:sz w:val="28"/>
          <w:szCs w:val="28"/>
        </w:rPr>
        <w:t>80%</w:t>
      </w:r>
      <w:r w:rsidRPr="009A6FC8">
        <w:rPr>
          <w:rFonts w:ascii="宋体" w:hAnsi="宋体" w:cs="宋体" w:hint="eastAsia"/>
          <w:color w:val="000000"/>
          <w:kern w:val="0"/>
          <w:sz w:val="28"/>
          <w:szCs w:val="28"/>
        </w:rPr>
        <w:t>以下。</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5 入库验收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 原则</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5.1.1 入库商品应附有产品检验合格证和安全技术说明书。进口商品还应有中文安全技术说明书或者其他说明。</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5.1.2 </w:t>
      </w:r>
      <w:r w:rsidRPr="009A6FC8">
        <w:rPr>
          <w:rFonts w:ascii="宋体" w:hAnsi="宋体" w:cs="宋体" w:hint="eastAsia"/>
          <w:color w:val="FF0000"/>
          <w:kern w:val="0"/>
          <w:sz w:val="28"/>
          <w:szCs w:val="28"/>
        </w:rPr>
        <w:t>入库商品应根据毒害性商品类别分别入库，采取隔离、隔开、分离储存。</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5.1.3 商品质量应符合相关产品标准，由存货方负责检验。</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5.1.4 保管方对商品外观、内外标志、容器包装、衬垫等进行感官检验。</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5.1.5 每种商品应打开外包装进行验收，发现问题扩大检查比例，验后将商品包装复原，并做标记。</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5.1.6 验收应在库房外安全地点进行。</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 验收项目</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5.2.1 包装</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5.2.1.1 包装标签应符合</w:t>
      </w:r>
      <w:r w:rsidRPr="009A6FC8">
        <w:rPr>
          <w:rFonts w:hint="eastAsia"/>
          <w:color w:val="000000"/>
          <w:kern w:val="0"/>
          <w:sz w:val="28"/>
          <w:szCs w:val="28"/>
        </w:rPr>
        <w:t>GB15258</w:t>
      </w:r>
      <w:r w:rsidRPr="009A6FC8">
        <w:rPr>
          <w:rFonts w:ascii="宋体" w:hAnsi="宋体" w:cs="宋体" w:hint="eastAsia"/>
          <w:color w:val="000000"/>
          <w:kern w:val="0"/>
          <w:sz w:val="28"/>
          <w:szCs w:val="28"/>
        </w:rPr>
        <w:t>的规定。</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5.2.1.2 包装应完整无损，无水湿、污染。</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lastRenderedPageBreak/>
        <w:t>5.2.2 质量</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5.2.2.1 商品性状、颜色等应符合相关产品标准。</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5.2.2.2 液体商品颜色无变化、无沉淀、无杂质。</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5.2.2.3 固体商品无变色、无结块、无潮解、无溶化现象。</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5.2.3 验收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FF0000"/>
          <w:kern w:val="0"/>
          <w:sz w:val="28"/>
          <w:szCs w:val="28"/>
        </w:rPr>
        <w:t>5.2.3.1 应执行双人复核制。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5.2.3.2 不符合</w:t>
      </w:r>
      <w:r w:rsidRPr="009A6FC8">
        <w:rPr>
          <w:rFonts w:hint="eastAsia"/>
          <w:color w:val="000000"/>
          <w:kern w:val="0"/>
          <w:sz w:val="28"/>
          <w:szCs w:val="28"/>
        </w:rPr>
        <w:t>5.1</w:t>
      </w:r>
      <w:r w:rsidRPr="009A6FC8">
        <w:rPr>
          <w:rFonts w:ascii="宋体" w:hAnsi="宋体" w:cs="宋体" w:hint="eastAsia"/>
          <w:color w:val="000000"/>
          <w:kern w:val="0"/>
          <w:sz w:val="28"/>
          <w:szCs w:val="28"/>
        </w:rPr>
        <w:t>条规定的商品不应入库，应暂存安全地点，通知存货方，另行处理。</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5.2.3.3 合格商品签收入库，填写验收记录，转存</w:t>
      </w:r>
      <w:proofErr w:type="gramStart"/>
      <w:r w:rsidRPr="009A6FC8">
        <w:rPr>
          <w:rFonts w:ascii="宋体" w:hAnsi="宋体" w:cs="宋体" w:hint="eastAsia"/>
          <w:color w:val="000000"/>
          <w:kern w:val="0"/>
          <w:sz w:val="28"/>
          <w:szCs w:val="28"/>
        </w:rPr>
        <w:t>货方</w:t>
      </w:r>
      <w:proofErr w:type="gramEnd"/>
      <w:r w:rsidRPr="009A6FC8">
        <w:rPr>
          <w:rFonts w:ascii="宋体" w:hAnsi="宋体" w:cs="宋体"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5.2.3.4 包装破漏时，应更换包装方可入库，整修包装需在专门场所进行。洒在地上的毒害性商品要清扫干净，集中存放，统一处理。</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6堆垛</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6.1原则</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商品堆垛要符合安全、方便的原则，便于堆码、检查和消防扑救，</w:t>
      </w:r>
      <w:proofErr w:type="gramStart"/>
      <w:r w:rsidRPr="009A6FC8">
        <w:rPr>
          <w:rFonts w:ascii="宋体" w:hAnsi="宋体" w:cs="宋体" w:hint="eastAsia"/>
          <w:color w:val="000000"/>
          <w:kern w:val="0"/>
          <w:sz w:val="28"/>
          <w:szCs w:val="28"/>
        </w:rPr>
        <w:t>苫垫物料</w:t>
      </w:r>
      <w:proofErr w:type="gramEnd"/>
      <w:r w:rsidRPr="009A6FC8">
        <w:rPr>
          <w:rFonts w:ascii="宋体" w:hAnsi="宋体" w:cs="宋体" w:hint="eastAsia"/>
          <w:color w:val="000000"/>
          <w:kern w:val="0"/>
          <w:sz w:val="28"/>
          <w:szCs w:val="28"/>
        </w:rPr>
        <w:t>应专用。</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6.2方式</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6.2.1货垛下应有防潮设施，</w:t>
      </w:r>
      <w:proofErr w:type="gramStart"/>
      <w:r w:rsidRPr="009A6FC8">
        <w:rPr>
          <w:rFonts w:ascii="宋体" w:hAnsi="宋体" w:cs="宋体" w:hint="eastAsia"/>
          <w:color w:val="000000"/>
          <w:kern w:val="0"/>
          <w:sz w:val="28"/>
          <w:szCs w:val="28"/>
        </w:rPr>
        <w:t>垛底距地面</w:t>
      </w:r>
      <w:proofErr w:type="gramEnd"/>
      <w:r w:rsidRPr="009A6FC8">
        <w:rPr>
          <w:rFonts w:ascii="宋体" w:hAnsi="宋体" w:cs="宋体" w:hint="eastAsia"/>
          <w:color w:val="000000"/>
          <w:kern w:val="0"/>
          <w:sz w:val="28"/>
          <w:szCs w:val="28"/>
        </w:rPr>
        <w:t>距离不小于</w:t>
      </w:r>
      <w:r w:rsidRPr="009A6FC8">
        <w:rPr>
          <w:rFonts w:hint="eastAsia"/>
          <w:color w:val="000000"/>
          <w:kern w:val="0"/>
          <w:sz w:val="28"/>
          <w:szCs w:val="28"/>
        </w:rPr>
        <w:t>15 cm</w:t>
      </w:r>
      <w:r w:rsidRPr="009A6FC8">
        <w:rPr>
          <w:rFonts w:ascii="宋体" w:hAnsi="宋体" w:cs="宋体"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6.2.2货垛应牢固、整齐、通风，</w:t>
      </w:r>
      <w:proofErr w:type="gramStart"/>
      <w:r w:rsidRPr="009A6FC8">
        <w:rPr>
          <w:rFonts w:ascii="宋体" w:hAnsi="宋体" w:cs="宋体" w:hint="eastAsia"/>
          <w:color w:val="000000"/>
          <w:kern w:val="0"/>
          <w:sz w:val="28"/>
          <w:szCs w:val="28"/>
        </w:rPr>
        <w:t>垛高不</w:t>
      </w:r>
      <w:proofErr w:type="gramEnd"/>
      <w:r w:rsidRPr="009A6FC8">
        <w:rPr>
          <w:rFonts w:ascii="宋体" w:hAnsi="宋体" w:cs="宋体" w:hint="eastAsia"/>
          <w:color w:val="000000"/>
          <w:kern w:val="0"/>
          <w:sz w:val="28"/>
          <w:szCs w:val="28"/>
        </w:rPr>
        <w:t>超过</w:t>
      </w:r>
      <w:r w:rsidRPr="009A6FC8">
        <w:rPr>
          <w:rFonts w:hint="eastAsia"/>
          <w:color w:val="000000"/>
          <w:kern w:val="0"/>
          <w:sz w:val="28"/>
          <w:szCs w:val="28"/>
        </w:rPr>
        <w:t>3 m</w:t>
      </w:r>
      <w:r w:rsidRPr="009A6FC8">
        <w:rPr>
          <w:rFonts w:ascii="宋体" w:hAnsi="宋体" w:cs="宋体"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6.3 间距</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应保持：</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a）主通道≥</w:t>
      </w:r>
      <w:r w:rsidRPr="009A6FC8">
        <w:rPr>
          <w:rFonts w:hint="eastAsia"/>
          <w:color w:val="000000"/>
          <w:kern w:val="0"/>
          <w:sz w:val="28"/>
          <w:szCs w:val="28"/>
        </w:rPr>
        <w:t>180cm</w:t>
      </w:r>
      <w:r w:rsidRPr="009A6FC8">
        <w:rPr>
          <w:rFonts w:ascii="宋体" w:hAnsi="宋体" w:cs="宋体" w:hint="eastAsia"/>
          <w:color w:val="000000"/>
          <w:kern w:val="0"/>
          <w:sz w:val="28"/>
          <w:szCs w:val="28"/>
        </w:rPr>
        <w:t>；</w:t>
      </w:r>
      <w:r w:rsidRPr="009A6FC8">
        <w:rPr>
          <w:rFonts w:hint="eastAsia"/>
          <w:color w:val="000000"/>
          <w:kern w:val="0"/>
          <w:sz w:val="28"/>
          <w:szCs w:val="28"/>
        </w:rPr>
        <w:t>b</w:t>
      </w:r>
      <w:r w:rsidRPr="009A6FC8">
        <w:rPr>
          <w:rFonts w:ascii="宋体" w:hAnsi="宋体" w:cs="宋体" w:hint="eastAsia"/>
          <w:color w:val="000000"/>
          <w:kern w:val="0"/>
          <w:sz w:val="28"/>
          <w:szCs w:val="28"/>
        </w:rPr>
        <w:t>）支通道≥</w:t>
      </w:r>
      <w:r w:rsidRPr="009A6FC8">
        <w:rPr>
          <w:rFonts w:hint="eastAsia"/>
          <w:color w:val="000000"/>
          <w:kern w:val="0"/>
          <w:sz w:val="28"/>
          <w:szCs w:val="28"/>
        </w:rPr>
        <w:t>80cm</w:t>
      </w:r>
      <w:r w:rsidRPr="009A6FC8">
        <w:rPr>
          <w:rFonts w:ascii="宋体" w:hAnsi="宋体" w:cs="宋体" w:hint="eastAsia"/>
          <w:color w:val="000000"/>
          <w:kern w:val="0"/>
          <w:sz w:val="28"/>
          <w:szCs w:val="28"/>
        </w:rPr>
        <w:t>；</w:t>
      </w:r>
      <w:r w:rsidRPr="009A6FC8">
        <w:rPr>
          <w:rFonts w:hint="eastAsia"/>
          <w:color w:val="000000"/>
          <w:kern w:val="0"/>
          <w:sz w:val="28"/>
          <w:szCs w:val="28"/>
        </w:rPr>
        <w:t>c</w:t>
      </w:r>
      <w:r w:rsidRPr="009A6FC8">
        <w:rPr>
          <w:rFonts w:ascii="宋体" w:hAnsi="宋体" w:cs="宋体" w:hint="eastAsia"/>
          <w:color w:val="000000"/>
          <w:kern w:val="0"/>
          <w:sz w:val="28"/>
          <w:szCs w:val="28"/>
        </w:rPr>
        <w:t>）</w:t>
      </w:r>
      <w:proofErr w:type="gramStart"/>
      <w:r w:rsidRPr="009A6FC8">
        <w:rPr>
          <w:rFonts w:ascii="宋体" w:hAnsi="宋体" w:cs="宋体" w:hint="eastAsia"/>
          <w:color w:val="000000"/>
          <w:kern w:val="0"/>
          <w:sz w:val="28"/>
          <w:szCs w:val="28"/>
        </w:rPr>
        <w:t>墙距</w:t>
      </w:r>
      <w:proofErr w:type="gramEnd"/>
      <w:r w:rsidRPr="009A6FC8">
        <w:rPr>
          <w:rFonts w:ascii="宋体" w:hAnsi="宋体" w:cs="宋体" w:hint="eastAsia"/>
          <w:color w:val="000000"/>
          <w:kern w:val="0"/>
          <w:sz w:val="28"/>
          <w:szCs w:val="28"/>
        </w:rPr>
        <w:t>≥</w:t>
      </w:r>
      <w:r w:rsidRPr="009A6FC8">
        <w:rPr>
          <w:rFonts w:hint="eastAsia"/>
          <w:color w:val="000000"/>
          <w:kern w:val="0"/>
          <w:sz w:val="28"/>
          <w:szCs w:val="28"/>
        </w:rPr>
        <w:t>30cm</w:t>
      </w:r>
      <w:r w:rsidRPr="009A6FC8">
        <w:rPr>
          <w:rFonts w:ascii="宋体" w:hAnsi="宋体" w:cs="宋体"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lastRenderedPageBreak/>
        <w:t>d）</w:t>
      </w:r>
      <w:proofErr w:type="gramStart"/>
      <w:r w:rsidRPr="009A6FC8">
        <w:rPr>
          <w:rFonts w:ascii="宋体" w:hAnsi="宋体" w:cs="宋体" w:hint="eastAsia"/>
          <w:color w:val="000000"/>
          <w:kern w:val="0"/>
          <w:sz w:val="28"/>
          <w:szCs w:val="28"/>
        </w:rPr>
        <w:t>柱距</w:t>
      </w:r>
      <w:proofErr w:type="gramEnd"/>
      <w:r w:rsidRPr="009A6FC8">
        <w:rPr>
          <w:rFonts w:ascii="宋体" w:hAnsi="宋体" w:cs="宋体" w:hint="eastAsia"/>
          <w:color w:val="000000"/>
          <w:kern w:val="0"/>
          <w:sz w:val="28"/>
          <w:szCs w:val="28"/>
        </w:rPr>
        <w:t>≥</w:t>
      </w:r>
      <w:r w:rsidRPr="009A6FC8">
        <w:rPr>
          <w:rFonts w:hint="eastAsia"/>
          <w:color w:val="000000"/>
          <w:kern w:val="0"/>
          <w:sz w:val="28"/>
          <w:szCs w:val="28"/>
        </w:rPr>
        <w:t>10cm</w:t>
      </w:r>
      <w:r w:rsidRPr="009A6FC8">
        <w:rPr>
          <w:rFonts w:ascii="宋体" w:hAnsi="宋体" w:cs="宋体" w:hint="eastAsia"/>
          <w:color w:val="000000"/>
          <w:kern w:val="0"/>
          <w:sz w:val="28"/>
          <w:szCs w:val="28"/>
        </w:rPr>
        <w:t>； </w:t>
      </w:r>
      <w:r w:rsidRPr="009A6FC8">
        <w:rPr>
          <w:rFonts w:hint="eastAsia"/>
          <w:color w:val="000000"/>
          <w:kern w:val="0"/>
          <w:sz w:val="28"/>
          <w:szCs w:val="28"/>
        </w:rPr>
        <w:t>e</w:t>
      </w:r>
      <w:r w:rsidRPr="009A6FC8">
        <w:rPr>
          <w:rFonts w:ascii="宋体" w:hAnsi="宋体" w:cs="宋体" w:hint="eastAsia"/>
          <w:color w:val="000000"/>
          <w:kern w:val="0"/>
          <w:sz w:val="28"/>
          <w:szCs w:val="28"/>
        </w:rPr>
        <w:t>）</w:t>
      </w:r>
      <w:proofErr w:type="gramStart"/>
      <w:r w:rsidRPr="009A6FC8">
        <w:rPr>
          <w:rFonts w:ascii="宋体" w:hAnsi="宋体" w:cs="宋体" w:hint="eastAsia"/>
          <w:color w:val="000000"/>
          <w:kern w:val="0"/>
          <w:sz w:val="28"/>
          <w:szCs w:val="28"/>
        </w:rPr>
        <w:t>垛距</w:t>
      </w:r>
      <w:proofErr w:type="gramEnd"/>
      <w:r w:rsidRPr="009A6FC8">
        <w:rPr>
          <w:rFonts w:ascii="宋体" w:hAnsi="宋体" w:cs="宋体" w:hint="eastAsia"/>
          <w:color w:val="000000"/>
          <w:kern w:val="0"/>
          <w:sz w:val="28"/>
          <w:szCs w:val="28"/>
        </w:rPr>
        <w:t>≥</w:t>
      </w:r>
      <w:r w:rsidRPr="009A6FC8">
        <w:rPr>
          <w:rFonts w:hint="eastAsia"/>
          <w:color w:val="000000"/>
          <w:kern w:val="0"/>
          <w:sz w:val="28"/>
          <w:szCs w:val="28"/>
        </w:rPr>
        <w:t>10cm</w:t>
      </w:r>
      <w:r w:rsidRPr="009A6FC8">
        <w:rPr>
          <w:rFonts w:ascii="宋体" w:hAnsi="宋体" w:cs="宋体" w:hint="eastAsia"/>
          <w:color w:val="000000"/>
          <w:kern w:val="0"/>
          <w:sz w:val="28"/>
          <w:szCs w:val="28"/>
        </w:rPr>
        <w:t>；</w:t>
      </w:r>
      <w:r w:rsidRPr="009A6FC8">
        <w:rPr>
          <w:rFonts w:hint="eastAsia"/>
          <w:color w:val="000000"/>
          <w:kern w:val="0"/>
          <w:sz w:val="28"/>
          <w:szCs w:val="28"/>
        </w:rPr>
        <w:t>f</w:t>
      </w:r>
      <w:r w:rsidRPr="009A6FC8">
        <w:rPr>
          <w:rFonts w:ascii="宋体" w:hAnsi="宋体" w:cs="宋体" w:hint="eastAsia"/>
          <w:color w:val="000000"/>
          <w:kern w:val="0"/>
          <w:sz w:val="28"/>
          <w:szCs w:val="28"/>
        </w:rPr>
        <w:t>）顶距≥</w:t>
      </w:r>
      <w:r w:rsidRPr="009A6FC8">
        <w:rPr>
          <w:rFonts w:hint="eastAsia"/>
          <w:color w:val="000000"/>
          <w:kern w:val="0"/>
          <w:sz w:val="28"/>
          <w:szCs w:val="28"/>
        </w:rPr>
        <w:t>10cm</w:t>
      </w:r>
    </w:p>
    <w:p w:rsidR="009A6FC8" w:rsidRPr="009A6FC8" w:rsidRDefault="009A6FC8" w:rsidP="009A6FC8">
      <w:pPr>
        <w:widowControl/>
        <w:shd w:val="clear" w:color="auto" w:fill="FFFFFF"/>
        <w:spacing w:before="156"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7、养护技术</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7.1温湿度管理</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7.1.1库房内设置温湿度表，按时观测、记录。</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7.1.2严格控制库内温湿度，保持在要求范围之内。</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7.2检查</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7.2.1安全</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7.2.1.1每天对库区进行检查，检查易燃物等是否清理，货垛是否牢固，有无异常。</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7.2.1.2遇特殊天气应及时检查商品有无受损。</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7.2.1.3定期检查库内设施、消防器材、防护用具是否齐全有效。</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7.2.2质量</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7.2.2.1根据商品性质，定期进行质量检查，每种商品抽查</w:t>
      </w:r>
      <w:r w:rsidRPr="009A6FC8">
        <w:rPr>
          <w:rFonts w:hint="eastAsia"/>
          <w:color w:val="000000"/>
          <w:kern w:val="0"/>
          <w:sz w:val="28"/>
          <w:szCs w:val="28"/>
        </w:rPr>
        <w:t>1</w:t>
      </w:r>
      <w:r w:rsidRPr="009A6FC8">
        <w:rPr>
          <w:rFonts w:ascii="宋体" w:hAnsi="宋体" w:cs="宋体" w:hint="eastAsia"/>
          <w:color w:val="000000"/>
          <w:kern w:val="0"/>
          <w:sz w:val="28"/>
          <w:szCs w:val="28"/>
        </w:rPr>
        <w:t>件</w:t>
      </w:r>
      <w:r w:rsidRPr="009A6FC8">
        <w:rPr>
          <w:rFonts w:hint="eastAsia"/>
          <w:color w:val="000000"/>
          <w:kern w:val="0"/>
          <w:sz w:val="28"/>
          <w:szCs w:val="28"/>
        </w:rPr>
        <w:t>~2</w:t>
      </w:r>
      <w:r w:rsidRPr="009A6FC8">
        <w:rPr>
          <w:rFonts w:ascii="宋体" w:hAnsi="宋体" w:cs="宋体" w:hint="eastAsia"/>
          <w:color w:val="000000"/>
          <w:kern w:val="0"/>
          <w:sz w:val="28"/>
          <w:szCs w:val="28"/>
        </w:rPr>
        <w:t>件。</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7.2.2.2检查商品包装、封口、衬垫有无破损，商品外观和质量有无变化。</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7.2.3处理</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7.2.3.1检查结果逐项记录，并做标记。</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7.2.3.2对发现的问题做好记录，通知存货方，采取措施进行防治。</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7.2.3.3对有问题商品应填写催调单，报存货方，督促解决。</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8安全操作</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8.1</w:t>
      </w:r>
      <w:r w:rsidRPr="009A6FC8">
        <w:rPr>
          <w:rFonts w:ascii="宋体" w:hAnsi="宋体" w:cs="宋体" w:hint="eastAsia"/>
          <w:color w:val="FF0000"/>
          <w:kern w:val="0"/>
          <w:sz w:val="28"/>
          <w:szCs w:val="28"/>
        </w:rPr>
        <w:t>作业人员应持有毒害性商品</w:t>
      </w:r>
      <w:proofErr w:type="gramStart"/>
      <w:r w:rsidRPr="009A6FC8">
        <w:rPr>
          <w:rFonts w:ascii="宋体" w:hAnsi="宋体" w:cs="宋体" w:hint="eastAsia"/>
          <w:color w:val="FF0000"/>
          <w:kern w:val="0"/>
          <w:sz w:val="28"/>
          <w:szCs w:val="28"/>
        </w:rPr>
        <w:t>养护上岗</w:t>
      </w:r>
      <w:proofErr w:type="gramEnd"/>
      <w:r w:rsidRPr="009A6FC8">
        <w:rPr>
          <w:rFonts w:ascii="宋体" w:hAnsi="宋体" w:cs="宋体" w:hint="eastAsia"/>
          <w:color w:val="FF0000"/>
          <w:kern w:val="0"/>
          <w:sz w:val="28"/>
          <w:szCs w:val="28"/>
        </w:rPr>
        <w:t>作业资格证书。</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8.2作业人员应佩戴手套和相应的防毒口罩或面具，穿防护服。</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lastRenderedPageBreak/>
        <w:t>8.3作业中不应饮食，不应用手擦嘴、脸、眼睛。每次作业完毕，应及时用肥皂</w:t>
      </w:r>
      <w:r w:rsidRPr="009A6FC8">
        <w:rPr>
          <w:rFonts w:hint="eastAsia"/>
          <w:color w:val="000000"/>
          <w:kern w:val="0"/>
          <w:sz w:val="28"/>
          <w:szCs w:val="28"/>
        </w:rPr>
        <w:t>(</w:t>
      </w:r>
      <w:r w:rsidRPr="009A6FC8">
        <w:rPr>
          <w:rFonts w:ascii="宋体" w:hAnsi="宋体" w:cs="宋体" w:hint="eastAsia"/>
          <w:color w:val="000000"/>
          <w:kern w:val="0"/>
          <w:sz w:val="28"/>
          <w:szCs w:val="28"/>
        </w:rPr>
        <w:t>或专用洗涤剂</w:t>
      </w:r>
      <w:r w:rsidRPr="009A6FC8">
        <w:rPr>
          <w:rFonts w:hint="eastAsia"/>
          <w:color w:val="000000"/>
          <w:kern w:val="0"/>
          <w:sz w:val="28"/>
          <w:szCs w:val="28"/>
        </w:rPr>
        <w:t>)</w:t>
      </w:r>
      <w:r w:rsidRPr="009A6FC8">
        <w:rPr>
          <w:rFonts w:ascii="宋体" w:hAnsi="宋体" w:cs="宋体" w:hint="eastAsia"/>
          <w:color w:val="000000"/>
          <w:kern w:val="0"/>
          <w:sz w:val="28"/>
          <w:szCs w:val="28"/>
        </w:rPr>
        <w:t>洗净面部、手部，用清水漱口，防护用具应及时清洗，集中存放。</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8.4操作时轻拿轻放，不应碰撞、倒置，防止包装破损，商品散漏。</w:t>
      </w:r>
    </w:p>
    <w:p w:rsidR="009A6FC8" w:rsidRPr="009A6FC8" w:rsidRDefault="009A6FC8" w:rsidP="009A6FC8">
      <w:pPr>
        <w:widowControl/>
        <w:shd w:val="clear" w:color="auto" w:fill="FFFFFF"/>
        <w:spacing w:after="156" w:line="500" w:lineRule="atLeast"/>
        <w:rPr>
          <w:rFonts w:ascii="微软雅黑" w:eastAsia="微软雅黑" w:hAnsi="微软雅黑" w:cs="宋体" w:hint="eastAsia"/>
          <w:color w:val="000000"/>
          <w:kern w:val="0"/>
          <w:sz w:val="23"/>
          <w:szCs w:val="23"/>
        </w:rPr>
      </w:pPr>
      <w:r w:rsidRPr="009A6FC8">
        <w:rPr>
          <w:rFonts w:ascii="黑体" w:eastAsia="黑体" w:hAnsi="黑体" w:cs="宋体" w:hint="eastAsia"/>
          <w:color w:val="000000"/>
          <w:kern w:val="0"/>
          <w:sz w:val="28"/>
          <w:szCs w:val="28"/>
        </w:rPr>
        <w:t>9 出库</w:t>
      </w:r>
    </w:p>
    <w:p w:rsidR="009A6FC8" w:rsidRPr="009A6FC8" w:rsidRDefault="009A6FC8" w:rsidP="009A6FC8">
      <w:pPr>
        <w:widowControl/>
        <w:shd w:val="clear" w:color="auto" w:fill="FFFFFF"/>
        <w:spacing w:line="500" w:lineRule="atLeast"/>
        <w:ind w:firstLine="560"/>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应坚持先进先出的原则。</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10 应急处理</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10.1 消防方法参见附录</w:t>
      </w:r>
      <w:r w:rsidRPr="009A6FC8">
        <w:rPr>
          <w:rFonts w:hint="eastAsia"/>
          <w:color w:val="000000"/>
          <w:kern w:val="0"/>
          <w:sz w:val="28"/>
          <w:szCs w:val="28"/>
        </w:rPr>
        <w:t>B</w:t>
      </w:r>
      <w:r w:rsidRPr="009A6FC8">
        <w:rPr>
          <w:rFonts w:ascii="宋体" w:hAnsi="宋体" w:cs="宋体"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10.2 中毒急救方法参见附录</w:t>
      </w:r>
      <w:r w:rsidRPr="009A6FC8">
        <w:rPr>
          <w:rFonts w:hint="eastAsia"/>
          <w:color w:val="000000"/>
          <w:kern w:val="0"/>
          <w:sz w:val="28"/>
          <w:szCs w:val="28"/>
        </w:rPr>
        <w:t>C</w:t>
      </w:r>
      <w:r w:rsidRPr="009A6FC8">
        <w:rPr>
          <w:rFonts w:ascii="宋体" w:hAnsi="宋体" w:cs="宋体" w:hint="eastAsia"/>
          <w:color w:val="000000"/>
          <w:kern w:val="0"/>
          <w:sz w:val="28"/>
          <w:szCs w:val="28"/>
        </w:rPr>
        <w:t>，并应及时送医院治疗。</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w:t>
      </w:r>
    </w:p>
    <w:p w:rsidR="00FB3784" w:rsidRPr="009A6FC8" w:rsidRDefault="00FB3784"/>
    <w:p w:rsidR="009A6FC8" w:rsidRDefault="009A6FC8">
      <w:r w:rsidRPr="009A6FC8">
        <w:rPr>
          <w:noProof/>
        </w:rPr>
        <w:lastRenderedPageBreak/>
        <w:drawing>
          <wp:inline distT="0" distB="0" distL="0" distR="0">
            <wp:extent cx="5274310" cy="7311563"/>
            <wp:effectExtent l="0" t="0" r="2540" b="3810"/>
            <wp:docPr id="5" name="图片 5" descr="C:\Users\tnn\AppData\Local\Temp\161003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nn\AppData\Local\Temp\1610031629(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7311563"/>
                    </a:xfrm>
                    <a:prstGeom prst="rect">
                      <a:avLst/>
                    </a:prstGeom>
                    <a:noFill/>
                    <a:ln>
                      <a:noFill/>
                    </a:ln>
                  </pic:spPr>
                </pic:pic>
              </a:graphicData>
            </a:graphic>
          </wp:inline>
        </w:drawing>
      </w:r>
    </w:p>
    <w:p w:rsidR="009A6FC8" w:rsidRDefault="009A6FC8">
      <w:r w:rsidRPr="009A6FC8">
        <w:rPr>
          <w:noProof/>
        </w:rPr>
        <w:lastRenderedPageBreak/>
        <w:drawing>
          <wp:inline distT="0" distB="0" distL="0" distR="0">
            <wp:extent cx="5274310" cy="4659046"/>
            <wp:effectExtent l="0" t="0" r="2540" b="8255"/>
            <wp:docPr id="6" name="图片 6" descr="C:\Users\tnn\AppData\Local\Temp\1610031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nn\AppData\Local\Temp\1610031676(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4659046"/>
                    </a:xfrm>
                    <a:prstGeom prst="rect">
                      <a:avLst/>
                    </a:prstGeom>
                    <a:noFill/>
                    <a:ln>
                      <a:noFill/>
                    </a:ln>
                  </pic:spPr>
                </pic:pic>
              </a:graphicData>
            </a:graphic>
          </wp:inline>
        </w:drawing>
      </w:r>
    </w:p>
    <w:p w:rsidR="009A6FC8" w:rsidRDefault="009A6FC8"/>
    <w:p w:rsidR="009A6FC8" w:rsidRDefault="009A6FC8"/>
    <w:p w:rsidR="009A6FC8" w:rsidRDefault="009A6FC8">
      <w:r w:rsidRPr="009A6FC8">
        <w:rPr>
          <w:noProof/>
        </w:rPr>
        <w:lastRenderedPageBreak/>
        <w:drawing>
          <wp:inline distT="0" distB="0" distL="0" distR="0">
            <wp:extent cx="5274310" cy="7520164"/>
            <wp:effectExtent l="0" t="0" r="2540" b="5080"/>
            <wp:docPr id="7" name="图片 7" descr="C:\Users\tnn\AppData\Local\Temp\1610031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n\AppData\Local\Temp\161003171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520164"/>
                    </a:xfrm>
                    <a:prstGeom prst="rect">
                      <a:avLst/>
                    </a:prstGeom>
                    <a:noFill/>
                    <a:ln>
                      <a:noFill/>
                    </a:ln>
                  </pic:spPr>
                </pic:pic>
              </a:graphicData>
            </a:graphic>
          </wp:inline>
        </w:drawing>
      </w:r>
    </w:p>
    <w:p w:rsidR="009A6FC8" w:rsidRDefault="009A6FC8"/>
    <w:p w:rsidR="009A6FC8" w:rsidRDefault="009A6FC8"/>
    <w:p w:rsidR="009A6FC8" w:rsidRDefault="009A6FC8"/>
    <w:p w:rsidR="009A6FC8" w:rsidRDefault="009A6FC8"/>
    <w:p w:rsidR="009A6FC8" w:rsidRDefault="009A6FC8"/>
    <w:p w:rsidR="009A6FC8" w:rsidRDefault="009A6FC8"/>
    <w:p w:rsidR="009A6FC8" w:rsidRDefault="009A6FC8"/>
    <w:p w:rsidR="009A6FC8" w:rsidRDefault="009A6FC8">
      <w:pPr>
        <w:rPr>
          <w:rFonts w:hint="eastAsia"/>
        </w:rPr>
      </w:pPr>
      <w:r w:rsidRPr="009A6FC8">
        <w:rPr>
          <w:noProof/>
        </w:rPr>
        <w:drawing>
          <wp:inline distT="0" distB="0" distL="0" distR="0" wp14:anchorId="653CC871" wp14:editId="67E27CA7">
            <wp:extent cx="5274310" cy="2496185"/>
            <wp:effectExtent l="0" t="0" r="2540" b="0"/>
            <wp:docPr id="8" name="图片 8" descr="C:\Users\tnn\AppData\Local\Temp\16100317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nn\AppData\Local\Temp\161003173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496185"/>
                    </a:xfrm>
                    <a:prstGeom prst="rect">
                      <a:avLst/>
                    </a:prstGeom>
                    <a:noFill/>
                    <a:ln>
                      <a:noFill/>
                    </a:ln>
                  </pic:spPr>
                </pic:pic>
              </a:graphicData>
            </a:graphic>
          </wp:inline>
        </w:drawing>
      </w:r>
    </w:p>
    <w:p w:rsidR="009A6FC8" w:rsidRPr="009A6FC8" w:rsidRDefault="009A6FC8" w:rsidP="009A6FC8">
      <w:pPr>
        <w:widowControl/>
        <w:shd w:val="clear" w:color="auto" w:fill="FFFFFF"/>
        <w:spacing w:line="500" w:lineRule="atLeast"/>
        <w:jc w:val="center"/>
        <w:rPr>
          <w:rFonts w:ascii="微软雅黑" w:eastAsia="微软雅黑" w:hAnsi="微软雅黑" w:cs="宋体"/>
          <w:color w:val="000000"/>
          <w:kern w:val="0"/>
          <w:sz w:val="23"/>
          <w:szCs w:val="23"/>
        </w:rPr>
      </w:pPr>
      <w:r w:rsidRPr="009A6FC8">
        <w:rPr>
          <w:rFonts w:ascii="宋体" w:hAnsi="宋体" w:cs="宋体" w:hint="eastAsia"/>
          <w:b/>
          <w:bCs/>
          <w:color w:val="000000"/>
          <w:kern w:val="0"/>
          <w:sz w:val="28"/>
          <w:szCs w:val="28"/>
        </w:rPr>
        <w:t>附录C</w:t>
      </w:r>
    </w:p>
    <w:p w:rsidR="009A6FC8" w:rsidRPr="009A6FC8" w:rsidRDefault="009A6FC8" w:rsidP="009A6FC8">
      <w:pPr>
        <w:widowControl/>
        <w:shd w:val="clear" w:color="auto" w:fill="FFFFFF"/>
        <w:spacing w:line="500" w:lineRule="atLeast"/>
        <w:jc w:val="center"/>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(资料性附录</w:t>
      </w:r>
      <w:r w:rsidRPr="009A6FC8">
        <w:rPr>
          <w:rFonts w:hint="eastAsia"/>
          <w:color w:val="000000"/>
          <w:kern w:val="0"/>
          <w:sz w:val="28"/>
          <w:szCs w:val="28"/>
        </w:rPr>
        <w:t>)</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中毒急救方法</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C.1呼吸道</w:t>
      </w:r>
      <w:r w:rsidRPr="009A6FC8">
        <w:rPr>
          <w:rFonts w:hint="eastAsia"/>
          <w:color w:val="000000"/>
          <w:kern w:val="0"/>
          <w:sz w:val="28"/>
          <w:szCs w:val="28"/>
        </w:rPr>
        <w:t>(</w:t>
      </w:r>
      <w:r w:rsidRPr="009A6FC8">
        <w:rPr>
          <w:rFonts w:ascii="宋体" w:hAnsi="宋体" w:cs="宋体" w:hint="eastAsia"/>
          <w:color w:val="000000"/>
          <w:kern w:val="0"/>
          <w:sz w:val="28"/>
          <w:szCs w:val="28"/>
        </w:rPr>
        <w:t>吸人</w:t>
      </w:r>
      <w:r w:rsidRPr="009A6FC8">
        <w:rPr>
          <w:rFonts w:hint="eastAsia"/>
          <w:color w:val="000000"/>
          <w:kern w:val="0"/>
          <w:sz w:val="28"/>
          <w:szCs w:val="28"/>
        </w:rPr>
        <w:t>)</w:t>
      </w:r>
      <w:r w:rsidRPr="009A6FC8">
        <w:rPr>
          <w:rFonts w:ascii="宋体" w:hAnsi="宋体" w:cs="宋体" w:hint="eastAsia"/>
          <w:color w:val="000000"/>
          <w:kern w:val="0"/>
          <w:sz w:val="28"/>
          <w:szCs w:val="28"/>
        </w:rPr>
        <w:t>中毒</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有毒的</w:t>
      </w:r>
      <w:proofErr w:type="gramStart"/>
      <w:r w:rsidRPr="009A6FC8">
        <w:rPr>
          <w:rFonts w:ascii="宋体" w:hAnsi="宋体" w:cs="宋体" w:hint="eastAsia"/>
          <w:color w:val="000000"/>
          <w:kern w:val="0"/>
          <w:sz w:val="28"/>
          <w:szCs w:val="28"/>
        </w:rPr>
        <w:t>蒸气</w:t>
      </w:r>
      <w:proofErr w:type="gramEnd"/>
      <w:r w:rsidRPr="009A6FC8">
        <w:rPr>
          <w:rFonts w:ascii="宋体" w:hAnsi="宋体" w:cs="宋体" w:hint="eastAsia"/>
          <w:color w:val="000000"/>
          <w:kern w:val="0"/>
          <w:sz w:val="28"/>
          <w:szCs w:val="28"/>
        </w:rPr>
        <w:t>、烟雾、粉尘被人吸人呼吸道各部，发生中毒现象，多为喉痒、咳嗽、流涕、气闷、头晕、头疼等。发现上述情况后，中毒者应立即离开现场，到空气新鲜处静卧。对呼吸困难者，可使其吸氧或进行人工呼吸。在进行人工呼吸前，应解开上衣，但勿使其受凉，人工呼吸至恢复正常呼吸后方可停止，并立即予以治疗。无警觉性毒物的危险性更大，</w:t>
      </w:r>
      <w:proofErr w:type="gramStart"/>
      <w:r w:rsidRPr="009A6FC8">
        <w:rPr>
          <w:rFonts w:ascii="宋体" w:hAnsi="宋体" w:cs="宋体" w:hint="eastAsia"/>
          <w:color w:val="000000"/>
          <w:kern w:val="0"/>
          <w:sz w:val="28"/>
          <w:szCs w:val="28"/>
        </w:rPr>
        <w:t>如澳甲烷</w:t>
      </w:r>
      <w:proofErr w:type="gramEnd"/>
      <w:r w:rsidRPr="009A6FC8">
        <w:rPr>
          <w:rFonts w:ascii="宋体" w:hAnsi="宋体" w:cs="宋体" w:hint="eastAsia"/>
          <w:color w:val="000000"/>
          <w:kern w:val="0"/>
          <w:sz w:val="28"/>
          <w:szCs w:val="28"/>
        </w:rPr>
        <w:t>，在操作前应测定空气中的气体浓度，以保证人身安全。</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C.2消化道</w:t>
      </w:r>
      <w:r w:rsidRPr="009A6FC8">
        <w:rPr>
          <w:rFonts w:hint="eastAsia"/>
          <w:color w:val="000000"/>
          <w:kern w:val="0"/>
          <w:sz w:val="28"/>
          <w:szCs w:val="28"/>
        </w:rPr>
        <w:t>(</w:t>
      </w:r>
      <w:r w:rsidRPr="009A6FC8">
        <w:rPr>
          <w:rFonts w:ascii="宋体" w:hAnsi="宋体" w:cs="宋体" w:hint="eastAsia"/>
          <w:color w:val="000000"/>
          <w:kern w:val="0"/>
          <w:sz w:val="28"/>
          <w:szCs w:val="28"/>
        </w:rPr>
        <w:t>口服</w:t>
      </w:r>
      <w:r w:rsidRPr="009A6FC8">
        <w:rPr>
          <w:rFonts w:hint="eastAsia"/>
          <w:color w:val="000000"/>
          <w:kern w:val="0"/>
          <w:sz w:val="28"/>
          <w:szCs w:val="28"/>
        </w:rPr>
        <w:t>)</w:t>
      </w:r>
      <w:r w:rsidRPr="009A6FC8">
        <w:rPr>
          <w:rFonts w:ascii="宋体" w:hAnsi="宋体" w:cs="宋体" w:hint="eastAsia"/>
          <w:color w:val="000000"/>
          <w:kern w:val="0"/>
          <w:sz w:val="28"/>
          <w:szCs w:val="28"/>
        </w:rPr>
        <w:t>中毒</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中毒者可用手指刺激咽部，或注射1%阿朴吗啡</w:t>
      </w:r>
      <w:r w:rsidRPr="009A6FC8">
        <w:rPr>
          <w:rFonts w:hint="eastAsia"/>
          <w:color w:val="000000"/>
          <w:kern w:val="0"/>
          <w:sz w:val="28"/>
          <w:szCs w:val="28"/>
        </w:rPr>
        <w:t>0.5mL</w:t>
      </w:r>
      <w:r w:rsidRPr="009A6FC8">
        <w:rPr>
          <w:rFonts w:ascii="宋体" w:hAnsi="宋体" w:cs="宋体" w:hint="eastAsia"/>
          <w:color w:val="000000"/>
          <w:kern w:val="0"/>
          <w:sz w:val="28"/>
          <w:szCs w:val="28"/>
        </w:rPr>
        <w:t>以催吐或用当归三两、大黄一两、生甘草五钱，用水煮服以催泻，如系</w:t>
      </w:r>
      <w:proofErr w:type="gramStart"/>
      <w:r w:rsidRPr="009A6FC8">
        <w:rPr>
          <w:rFonts w:ascii="宋体" w:hAnsi="宋体" w:cs="宋体" w:hint="eastAsia"/>
          <w:color w:val="000000"/>
          <w:kern w:val="0"/>
          <w:sz w:val="28"/>
          <w:szCs w:val="28"/>
        </w:rPr>
        <w:t>一</w:t>
      </w:r>
      <w:proofErr w:type="gramEnd"/>
      <w:r w:rsidRPr="009A6FC8">
        <w:rPr>
          <w:rFonts w:hint="eastAsia"/>
          <w:color w:val="000000"/>
          <w:kern w:val="0"/>
          <w:sz w:val="28"/>
          <w:szCs w:val="28"/>
        </w:rPr>
        <w:t>O</w:t>
      </w:r>
      <w:r w:rsidRPr="009A6FC8">
        <w:rPr>
          <w:rFonts w:ascii="宋体" w:hAnsi="宋体" w:cs="宋体" w:hint="eastAsia"/>
          <w:color w:val="000000"/>
          <w:kern w:val="0"/>
          <w:sz w:val="28"/>
          <w:szCs w:val="28"/>
        </w:rPr>
        <w:t>五九、一六</w:t>
      </w:r>
      <w:r w:rsidRPr="009A6FC8">
        <w:rPr>
          <w:rFonts w:hint="eastAsia"/>
          <w:color w:val="000000"/>
          <w:kern w:val="0"/>
          <w:sz w:val="28"/>
          <w:szCs w:val="28"/>
        </w:rPr>
        <w:t>O</w:t>
      </w:r>
      <w:r w:rsidRPr="009A6FC8">
        <w:rPr>
          <w:rFonts w:ascii="宋体" w:hAnsi="宋体" w:cs="宋体" w:hint="eastAsia"/>
          <w:color w:val="000000"/>
          <w:kern w:val="0"/>
          <w:sz w:val="28"/>
          <w:szCs w:val="28"/>
        </w:rPr>
        <w:t>五等油溶性毒害性商品中毒，禁用蓖麻油、液体石蜡</w:t>
      </w:r>
      <w:r w:rsidRPr="009A6FC8">
        <w:rPr>
          <w:rFonts w:ascii="宋体" w:hAnsi="宋体" w:cs="宋体" w:hint="eastAsia"/>
          <w:color w:val="000000"/>
          <w:kern w:val="0"/>
          <w:sz w:val="28"/>
          <w:szCs w:val="28"/>
        </w:rPr>
        <w:lastRenderedPageBreak/>
        <w:t>等油质催泻剂。中毒者呕吐后应卧床休息，注意保持体温，可饮热茶水。</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C.3皮肤</w:t>
      </w:r>
      <w:r w:rsidRPr="009A6FC8">
        <w:rPr>
          <w:rFonts w:hint="eastAsia"/>
          <w:color w:val="000000"/>
          <w:kern w:val="0"/>
          <w:sz w:val="28"/>
          <w:szCs w:val="28"/>
        </w:rPr>
        <w:t>(</w:t>
      </w:r>
      <w:r w:rsidRPr="009A6FC8">
        <w:rPr>
          <w:rFonts w:ascii="宋体" w:hAnsi="宋体" w:cs="宋体" w:hint="eastAsia"/>
          <w:color w:val="000000"/>
          <w:kern w:val="0"/>
          <w:sz w:val="28"/>
          <w:szCs w:val="28"/>
        </w:rPr>
        <w:t>接触</w:t>
      </w:r>
      <w:r w:rsidRPr="009A6FC8">
        <w:rPr>
          <w:rFonts w:hint="eastAsia"/>
          <w:color w:val="000000"/>
          <w:kern w:val="0"/>
          <w:sz w:val="28"/>
          <w:szCs w:val="28"/>
        </w:rPr>
        <w:t>)</w:t>
      </w:r>
      <w:r w:rsidRPr="009A6FC8">
        <w:rPr>
          <w:rFonts w:ascii="宋体" w:hAnsi="宋体" w:cs="宋体" w:hint="eastAsia"/>
          <w:color w:val="000000"/>
          <w:kern w:val="0"/>
          <w:sz w:val="28"/>
          <w:szCs w:val="28"/>
        </w:rPr>
        <w:t>中毒</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    皮肤(接触</w:t>
      </w:r>
      <w:r w:rsidRPr="009A6FC8">
        <w:rPr>
          <w:rFonts w:hint="eastAsia"/>
          <w:color w:val="000000"/>
          <w:kern w:val="0"/>
          <w:sz w:val="28"/>
          <w:szCs w:val="28"/>
        </w:rPr>
        <w:t>)</w:t>
      </w:r>
      <w:r w:rsidRPr="009A6FC8">
        <w:rPr>
          <w:rFonts w:ascii="宋体" w:hAnsi="宋体" w:cs="宋体" w:hint="eastAsia"/>
          <w:color w:val="000000"/>
          <w:kern w:val="0"/>
          <w:sz w:val="28"/>
          <w:szCs w:val="28"/>
        </w:rPr>
        <w:t>中毒，立即用大量清水冲洗，然后用肥皂水洗净，再涂一层氧化锌药膏或硼酸</w:t>
      </w:r>
      <w:proofErr w:type="gramStart"/>
      <w:r w:rsidRPr="009A6FC8">
        <w:rPr>
          <w:rFonts w:ascii="宋体" w:hAnsi="宋体" w:cs="宋体" w:hint="eastAsia"/>
          <w:color w:val="000000"/>
          <w:kern w:val="0"/>
          <w:sz w:val="28"/>
          <w:szCs w:val="28"/>
        </w:rPr>
        <w:t>软青以</w:t>
      </w:r>
      <w:proofErr w:type="gramEnd"/>
      <w:r w:rsidRPr="009A6FC8">
        <w:rPr>
          <w:rFonts w:ascii="宋体" w:hAnsi="宋体" w:cs="宋体" w:hint="eastAsia"/>
          <w:color w:val="000000"/>
          <w:kern w:val="0"/>
          <w:sz w:val="28"/>
          <w:szCs w:val="28"/>
        </w:rPr>
        <w:t>保护皮肤，重者应送医院治疗。</w:t>
      </w:r>
    </w:p>
    <w:p w:rsidR="009A6FC8" w:rsidRPr="009A6FC8" w:rsidRDefault="009A6FC8" w:rsidP="009A6FC8">
      <w:pPr>
        <w:widowControl/>
        <w:shd w:val="clear" w:color="auto" w:fill="FFFFFF"/>
        <w:spacing w:line="500" w:lineRule="atLeast"/>
        <w:rPr>
          <w:rFonts w:ascii="微软雅黑" w:eastAsia="微软雅黑" w:hAnsi="微软雅黑" w:cs="宋体" w:hint="eastAsia"/>
          <w:color w:val="000000"/>
          <w:kern w:val="0"/>
          <w:sz w:val="23"/>
          <w:szCs w:val="23"/>
        </w:rPr>
      </w:pPr>
      <w:r w:rsidRPr="009A6FC8">
        <w:rPr>
          <w:rFonts w:ascii="宋体" w:hAnsi="宋体" w:cs="宋体" w:hint="eastAsia"/>
          <w:color w:val="000000"/>
          <w:kern w:val="0"/>
          <w:sz w:val="28"/>
          <w:szCs w:val="28"/>
        </w:rPr>
        <w:t>C.4毒物进人眼睛时，应立即用大量清水或低浓度医用氯化钠</w:t>
      </w:r>
      <w:r w:rsidRPr="009A6FC8">
        <w:rPr>
          <w:rFonts w:hint="eastAsia"/>
          <w:color w:val="000000"/>
          <w:kern w:val="0"/>
          <w:sz w:val="28"/>
          <w:szCs w:val="28"/>
        </w:rPr>
        <w:t>(</w:t>
      </w:r>
      <w:r w:rsidRPr="009A6FC8">
        <w:rPr>
          <w:rFonts w:ascii="宋体" w:hAnsi="宋体" w:cs="宋体" w:hint="eastAsia"/>
          <w:color w:val="000000"/>
          <w:kern w:val="0"/>
          <w:sz w:val="28"/>
          <w:szCs w:val="28"/>
        </w:rPr>
        <w:t>食盐</w:t>
      </w:r>
      <w:r w:rsidRPr="009A6FC8">
        <w:rPr>
          <w:rFonts w:hint="eastAsia"/>
          <w:color w:val="000000"/>
          <w:kern w:val="0"/>
          <w:sz w:val="28"/>
          <w:szCs w:val="28"/>
        </w:rPr>
        <w:t>)</w:t>
      </w:r>
      <w:r w:rsidRPr="009A6FC8">
        <w:rPr>
          <w:rFonts w:ascii="宋体" w:hAnsi="宋体" w:cs="宋体" w:hint="eastAsia"/>
          <w:color w:val="000000"/>
          <w:kern w:val="0"/>
          <w:sz w:val="28"/>
          <w:szCs w:val="28"/>
        </w:rPr>
        <w:t>水冲洗</w:t>
      </w:r>
      <w:r w:rsidRPr="009A6FC8">
        <w:rPr>
          <w:rFonts w:hint="eastAsia"/>
          <w:color w:val="000000"/>
          <w:kern w:val="0"/>
          <w:sz w:val="28"/>
          <w:szCs w:val="28"/>
        </w:rPr>
        <w:t>10 min-15 min</w:t>
      </w:r>
      <w:r w:rsidRPr="009A6FC8">
        <w:rPr>
          <w:rFonts w:ascii="宋体" w:hAnsi="宋体" w:cs="宋体" w:hint="eastAsia"/>
          <w:color w:val="000000"/>
          <w:kern w:val="0"/>
          <w:sz w:val="28"/>
          <w:szCs w:val="28"/>
        </w:rPr>
        <w:t>，然后去医院治疗。</w:t>
      </w:r>
    </w:p>
    <w:p w:rsidR="009A6FC8" w:rsidRPr="009A6FC8" w:rsidRDefault="009A6FC8">
      <w:pPr>
        <w:rPr>
          <w:rFonts w:hint="eastAsia"/>
        </w:rPr>
      </w:pPr>
      <w:bookmarkStart w:id="0" w:name="_GoBack"/>
      <w:bookmarkEnd w:id="0"/>
    </w:p>
    <w:sectPr w:rsidR="009A6FC8" w:rsidRPr="009A6FC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E2C"/>
    <w:rsid w:val="005262A7"/>
    <w:rsid w:val="005F718E"/>
    <w:rsid w:val="007A205F"/>
    <w:rsid w:val="0094726B"/>
    <w:rsid w:val="009A6FC8"/>
    <w:rsid w:val="00BB6E2C"/>
    <w:rsid w:val="00FB3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918C3"/>
  <w15:chartTrackingRefBased/>
  <w15:docId w15:val="{12ABCC2D-DA4F-4B03-AB51-A6ECCA849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kern w:val="2"/>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024">
      <w:bodyDiv w:val="1"/>
      <w:marLeft w:val="0"/>
      <w:marRight w:val="0"/>
      <w:marTop w:val="0"/>
      <w:marBottom w:val="0"/>
      <w:divBdr>
        <w:top w:val="none" w:sz="0" w:space="0" w:color="auto"/>
        <w:left w:val="none" w:sz="0" w:space="0" w:color="auto"/>
        <w:bottom w:val="none" w:sz="0" w:space="0" w:color="auto"/>
        <w:right w:val="none" w:sz="0" w:space="0" w:color="auto"/>
      </w:divBdr>
    </w:div>
    <w:div w:id="160006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483</Words>
  <Characters>2759</Characters>
  <Application>Microsoft Office Word</Application>
  <DocSecurity>0</DocSecurity>
  <Lines>22</Lines>
  <Paragraphs>6</Paragraphs>
  <ScaleCrop>false</ScaleCrop>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tnn@ncepu.edu.cn</dc:creator>
  <cp:keywords/>
  <dc:description/>
  <cp:lastModifiedBy>tnn@ncepu.edu.cn</cp:lastModifiedBy>
  <cp:revision>2</cp:revision>
  <dcterms:created xsi:type="dcterms:W3CDTF">2021-01-07T14:51:00Z</dcterms:created>
  <dcterms:modified xsi:type="dcterms:W3CDTF">2021-01-07T15:05:00Z</dcterms:modified>
</cp:coreProperties>
</file>